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0" w:line="315" w:lineRule="atLeast"/>
        <w:ind w:firstLine="142"/>
        <w:contextualSpacing w:val="true"/>
        <w:jc w:val="right"/>
        <w:rPr>
          <w:rFonts w:ascii="Times New Roman" w:hAnsi="Times New Roman" w:eastAsia="Times New Roman"/>
          <w:spacing w:val="2"/>
          <w:sz w:val="21"/>
          <w:szCs w:val="21"/>
          <w:lang w:eastAsia="ru-RU"/>
        </w:rPr>
      </w:pPr>
      <w:r>
        <w:rPr>
          <w:rFonts w:ascii="Times New Roman" w:hAnsi="Times New Roman" w:eastAsia="Times New Roman"/>
          <w:spacing w:val="2"/>
          <w:sz w:val="21"/>
          <w:szCs w:val="21"/>
          <w:lang w:eastAsia="ru-RU"/>
        </w:rPr>
        <w:t xml:space="preserve">Приложение 2</w:t>
      </w:r>
      <w:r>
        <w:rPr>
          <w:rFonts w:ascii="Times New Roman" w:hAnsi="Times New Roman" w:eastAsia="Times New Roman"/>
          <w:spacing w:val="2"/>
          <w:sz w:val="21"/>
          <w:szCs w:val="21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Этапы развития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гражданской обороны в Российской Федерации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(справочный материал)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Гражданская оборона (далее- ГО) является одной из важнейших функций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государства, составной частью оборонного строительства и обеспечения безопасности населения страны. Ее развитие имеет почти вековую историю.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 развития гражданской обороны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</w:t>
      </w:r>
      <w:r>
        <w:rPr>
          <w:rFonts w:ascii="Times New Roman" w:hAnsi="Times New Roman" w:cs="Times New Roman"/>
          <w:b/>
          <w:sz w:val="28"/>
          <w:szCs w:val="28"/>
        </w:rPr>
        <w:t xml:space="preserve">1918 - </w:t>
      </w:r>
      <w:r>
        <w:rPr>
          <w:rFonts w:ascii="Times New Roman" w:hAnsi="Times New Roman" w:cs="Times New Roman"/>
          <w:b/>
          <w:sz w:val="28"/>
          <w:szCs w:val="28"/>
        </w:rPr>
        <w:t xml:space="preserve">1932 г.г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Началом пути Гражданской обороны в нашей стране</w:t>
      </w:r>
      <w:r>
        <w:rPr>
          <w:rFonts w:ascii="Times New Roman" w:hAnsi="Times New Roman" w:cs="Times New Roman"/>
          <w:sz w:val="28"/>
          <w:szCs w:val="28"/>
        </w:rPr>
        <w:t xml:space="preserve"> считается март 1918 года. Изданное Комитетом революционной обороны воззвание «К населению Петрограда и его окрестностей» устанавливало правила поведения населения в условиях воздушного нападения и явилось первым документом, определяющим мероприятия граждан</w:t>
      </w:r>
      <w:r>
        <w:rPr>
          <w:rFonts w:ascii="Times New Roman" w:hAnsi="Times New Roman" w:cs="Times New Roman"/>
          <w:sz w:val="28"/>
          <w:szCs w:val="28"/>
        </w:rPr>
        <w:t xml:space="preserve">ской обороны. В документе говорилось о создании штаба воздушной обороны, сети наблюдательных пунктов, отрядов для оказания пострадавшим первой медицинской помощи, о правилах поведения при воздушном нападении.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добровольная оборонная организация - Вое</w:t>
      </w:r>
      <w:r>
        <w:rPr>
          <w:rFonts w:ascii="Times New Roman" w:hAnsi="Times New Roman" w:cs="Times New Roman"/>
          <w:sz w:val="28"/>
          <w:szCs w:val="28"/>
        </w:rPr>
        <w:t xml:space="preserve">нно-научное общество (ВНО) было создано в 1920 году. Оно ставило своей задачей разработку военно-научных проблем и широкую пропаганду военных знаний среди трудящихся.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425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широкий размах массовой оборонной работы и необходимость усиления военно-патриот</w:t>
      </w:r>
      <w:r>
        <w:rPr>
          <w:rFonts w:ascii="Times New Roman" w:hAnsi="Times New Roman" w:cs="Times New Roman"/>
          <w:sz w:val="28"/>
          <w:szCs w:val="28"/>
        </w:rPr>
        <w:t xml:space="preserve">ического воспитания населения, подготовки его к обороне страны, 27 июля 1926 года Постановлением Совета народных комиссаров СССР Военно-научное общество было переименовано в Общество содействия обороне СССР (ОСО).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1923 года создается массовое добро</w:t>
      </w:r>
      <w:r>
        <w:rPr>
          <w:rFonts w:ascii="Times New Roman" w:hAnsi="Times New Roman" w:cs="Times New Roman"/>
          <w:sz w:val="28"/>
          <w:szCs w:val="28"/>
        </w:rPr>
        <w:t xml:space="preserve">вольное Общество друзей Воздушного флота (ОДВФ), которое поставило перед собой задачу активно содействовать развитию отечественной авиации.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Вскоре появилась еще одна оборонно-массовая организация – Добровольное общество друзей химической обороны и промышленности (Доброхим СССР).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практическая деятельность ОДВФ и Доброхима была тесно связана, то уже в мае 1925 года они объединились в о</w:t>
      </w:r>
      <w:r>
        <w:rPr>
          <w:rFonts w:ascii="Times New Roman" w:hAnsi="Times New Roman" w:cs="Times New Roman"/>
          <w:sz w:val="28"/>
          <w:szCs w:val="28"/>
        </w:rPr>
        <w:t xml:space="preserve">дну организацию – АВИАХИМ.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кружках военных знаний население овладевало стрелковым оружием, изучало ручную гранату, основы тактики. В кружках военно-технической направленности велось изучение артиллерийского, пулеметного вооружения, устройство танка, теле</w:t>
      </w:r>
      <w:r>
        <w:rPr>
          <w:rFonts w:ascii="Times New Roman" w:hAnsi="Times New Roman" w:cs="Times New Roman"/>
          <w:sz w:val="28"/>
          <w:szCs w:val="28"/>
        </w:rPr>
        <w:t xml:space="preserve">графного аппарата, бронемашины, средств защиты от химического оружия. Успешно работали военно-морские клубы. Общество содействия обороне, авиационному и химическому строительству (ОСОАВИАХИМ) было создано 23 января 1927 года на совместном заседании делегат</w:t>
      </w:r>
      <w:r>
        <w:rPr>
          <w:rFonts w:ascii="Times New Roman" w:hAnsi="Times New Roman" w:cs="Times New Roman"/>
          <w:sz w:val="28"/>
          <w:szCs w:val="28"/>
        </w:rPr>
        <w:t xml:space="preserve">ов Всесоюзного съезда АВИАХИМа и участников пленума ОСО. Главной задачей общество считало патриотическое воспитание своих членов и подготовку их защите Родины.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Вторым этапом</w:t>
      </w:r>
      <w:r>
        <w:rPr>
          <w:rFonts w:ascii="Times New Roman" w:hAnsi="Times New Roman" w:cs="Times New Roman"/>
          <w:sz w:val="28"/>
          <w:szCs w:val="28"/>
        </w:rPr>
        <w:t xml:space="preserve"> развития гражданской обороны </w:t>
      </w:r>
      <w:r>
        <w:rPr>
          <w:rFonts w:ascii="Times New Roman" w:hAnsi="Times New Roman" w:cs="Times New Roman"/>
          <w:sz w:val="28"/>
          <w:szCs w:val="28"/>
        </w:rPr>
        <w:t xml:space="preserve">(1932 г.- 1941г.г.) стал комплекс военно-политических </w:t>
      </w:r>
      <w:r>
        <w:rPr>
          <w:rFonts w:ascii="Times New Roman" w:hAnsi="Times New Roman" w:cs="Times New Roman"/>
          <w:sz w:val="28"/>
          <w:szCs w:val="28"/>
        </w:rPr>
        <w:t xml:space="preserve">и организационных мероприятий по защите населения и народного хозяйства страны. Советом народных комиссаров СССР               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октября 1932 года было принято «Положение о противовоздушной обороне СССР», которым впервые были определены мероприятия и средства непосредс</w:t>
      </w:r>
      <w:r>
        <w:rPr>
          <w:rFonts w:ascii="Times New Roman" w:hAnsi="Times New Roman" w:cs="Times New Roman"/>
          <w:sz w:val="28"/>
          <w:szCs w:val="28"/>
        </w:rPr>
        <w:t xml:space="preserve">твенной защиты населения и территорий страны от воздушной опасности в зоне возможн</w:t>
      </w:r>
      <w:r>
        <w:rPr>
          <w:rFonts w:ascii="Times New Roman" w:hAnsi="Times New Roman" w:cs="Times New Roman"/>
          <w:sz w:val="28"/>
          <w:szCs w:val="28"/>
        </w:rPr>
        <w:t xml:space="preserve">ого действия авиации противника. Этим актом было положено начало создания местной противовоздушной обороны (МПВО), предназначенной для защиты населения от воздушного нападени</w:t>
      </w:r>
      <w:r>
        <w:rPr>
          <w:rFonts w:ascii="Times New Roman" w:hAnsi="Times New Roman" w:cs="Times New Roman"/>
          <w:sz w:val="28"/>
          <w:szCs w:val="28"/>
        </w:rPr>
        <w:t xml:space="preserve">я противника. В связи с этим 4 октября 1932 года принято считать днем рождения МПВО и Днем гражданской обороны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этап (1941-1945г.г.) </w:t>
      </w:r>
      <w:r>
        <w:rPr>
          <w:rFonts w:ascii="Times New Roman" w:hAnsi="Times New Roman" w:cs="Times New Roman"/>
          <w:sz w:val="28"/>
          <w:szCs w:val="28"/>
        </w:rPr>
        <w:t xml:space="preserve">охватывает годы Великой Отечественной войны. Своевременное создание МПВО обеспечило в годы войны успешное реш</w:t>
      </w:r>
      <w:r>
        <w:rPr>
          <w:rFonts w:ascii="Times New Roman" w:hAnsi="Times New Roman" w:cs="Times New Roman"/>
          <w:sz w:val="28"/>
          <w:szCs w:val="28"/>
        </w:rPr>
        <w:t xml:space="preserve">ение задач защиты населения и объектов народного хозяйства от нападения с воздуха.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МПВО сыграла неоценимую роль в ходе Великой Отечественной войны, значительно сократив потери мирного населения и предотвратив разрушения объектов народного хозяйства. Защища</w:t>
      </w:r>
      <w:r>
        <w:rPr>
          <w:rFonts w:ascii="Times New Roman" w:hAnsi="Times New Roman" w:cs="Times New Roman"/>
          <w:sz w:val="28"/>
          <w:szCs w:val="28"/>
        </w:rPr>
        <w:t xml:space="preserve">я население от налётов вражеской авиации и артиллерийских обстрелов, личный состав медико-санитарных, аварийно-восстановительных и противопожарных служб трудился, постоянно рискуя своей жизнью. Велась борьба с зажигательными бомбами, оказывалась помощь ран</w:t>
      </w:r>
      <w:r>
        <w:rPr>
          <w:rFonts w:ascii="Times New Roman" w:hAnsi="Times New Roman" w:cs="Times New Roman"/>
          <w:sz w:val="28"/>
          <w:szCs w:val="28"/>
        </w:rPr>
        <w:t xml:space="preserve">еным и пострадавшим под обломками зданий.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годы Великой Отечественной войны формированиями МПВО было обезврежено более 400 тыс. авиабомб и 3,5 млн. артиллерийских боеприпасов.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Четвертый этап (1945 - 1961г.г.)</w:t>
      </w:r>
      <w:r>
        <w:rPr>
          <w:rFonts w:ascii="Times New Roman" w:hAnsi="Times New Roman" w:cs="Times New Roman"/>
          <w:sz w:val="28"/>
          <w:szCs w:val="28"/>
        </w:rPr>
        <w:t xml:space="preserve"> – этап совершенствования МПВО, связанны</w:t>
      </w:r>
      <w:r>
        <w:rPr>
          <w:rFonts w:ascii="Times New Roman" w:hAnsi="Times New Roman" w:cs="Times New Roman"/>
          <w:sz w:val="28"/>
          <w:szCs w:val="28"/>
        </w:rPr>
        <w:t xml:space="preserve">й с поиском наиболее эффективных путей защиты населения и народного хозяйства от применения оружия массового поражения. В 1961 году была создана качественно новая система– Гражданская оборона, ставшая одним из стратегических факторов обеспечения жизнедеяте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 государства в современной войне.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Гражданская оборона принципиально отличалась от МПВО.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мероприятиям ГО был придан общегосударственный и общенародный характер. Все они планировались и реализовывались на всей территории страны и касались к</w:t>
      </w:r>
      <w:r>
        <w:rPr>
          <w:rFonts w:ascii="Times New Roman" w:hAnsi="Times New Roman" w:cs="Times New Roman"/>
          <w:sz w:val="28"/>
          <w:szCs w:val="28"/>
        </w:rPr>
        <w:t xml:space="preserve">аждого гражданина и каждого коллектива.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система защитных мер исходила из необходимости обеспечить защиту населения и территорий страны от всех поражающих факторов оружия массового уничтожения. Это многократно усложняло проблему.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рас</w:t>
      </w:r>
      <w:r>
        <w:rPr>
          <w:rFonts w:ascii="Times New Roman" w:hAnsi="Times New Roman" w:cs="Times New Roman"/>
          <w:sz w:val="28"/>
          <w:szCs w:val="28"/>
        </w:rPr>
        <w:t xml:space="preserve">ширился круг задач, решаемых гражданской обороной. Так, в число основных задач ГО вошло обеспечение устойчивой работы промышленности в военное время.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В-четвертых, новое качество приобрела задача по ликвидации последствий нападения противника.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Пятый этап р</w:t>
      </w:r>
      <w:r>
        <w:rPr>
          <w:rFonts w:ascii="Times New Roman" w:hAnsi="Times New Roman" w:cs="Times New Roman"/>
          <w:b/>
          <w:sz w:val="28"/>
          <w:szCs w:val="28"/>
        </w:rPr>
        <w:t xml:space="preserve">азвития гражданской обороны страны (1961 - 1971г.г.) </w:t>
      </w:r>
      <w:r>
        <w:rPr>
          <w:rFonts w:ascii="Times New Roman" w:hAnsi="Times New Roman" w:cs="Times New Roman"/>
          <w:sz w:val="28"/>
          <w:szCs w:val="28"/>
        </w:rPr>
        <w:t xml:space="preserve">характеризуется глубокими структурными изменениями системы ГО. С сентября 1971 г. непосредственное руководство системой ГО вновь, как и в30-е годы, было передано военному ведомству. Это подняло ее развит</w:t>
      </w:r>
      <w:r>
        <w:rPr>
          <w:rFonts w:ascii="Times New Roman" w:hAnsi="Times New Roman" w:cs="Times New Roman"/>
          <w:sz w:val="28"/>
          <w:szCs w:val="28"/>
        </w:rPr>
        <w:t xml:space="preserve">ие на более высокую ступень, обеспечило более эффективное руководство ею на всех уровнях.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«холодной» войны, с возникновением угрозы применения потенциальным противником ядерного оружия и других современных средств массового поражения, потребовалос</w:t>
      </w:r>
      <w:r>
        <w:rPr>
          <w:rFonts w:ascii="Times New Roman" w:hAnsi="Times New Roman" w:cs="Times New Roman"/>
          <w:sz w:val="28"/>
          <w:szCs w:val="28"/>
        </w:rPr>
        <w:t xml:space="preserve">ь создать принципиально новую систему оборонных мероприятий по защите населения и объектов экономики от поражающих факторов вновь изобретённого оружия.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июля 1961 г. Постановлением Совета Министров СССР местная противовоздушная оборона преобразована в гр</w:t>
      </w:r>
      <w:r>
        <w:rPr>
          <w:rFonts w:ascii="Times New Roman" w:hAnsi="Times New Roman" w:cs="Times New Roman"/>
          <w:sz w:val="28"/>
          <w:szCs w:val="28"/>
        </w:rPr>
        <w:t xml:space="preserve">ажданскую оборону. Систему общегосударственных оборонных мероприятий, проводимых в мирное и военное время в целях защиты населения и объектов народного хозяйства от ядерного, химического и бактериологического оружия, а также в целях проведения спасательных</w:t>
      </w:r>
      <w:r>
        <w:rPr>
          <w:rFonts w:ascii="Times New Roman" w:hAnsi="Times New Roman" w:cs="Times New Roman"/>
          <w:sz w:val="28"/>
          <w:szCs w:val="28"/>
        </w:rPr>
        <w:t xml:space="preserve"> и неотложных аварийно-восстановительных работ в очагах возможного массового поражения.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Шестой этап (1971 - 1987 г.)</w:t>
      </w:r>
      <w:r>
        <w:rPr>
          <w:rFonts w:ascii="Times New Roman" w:hAnsi="Times New Roman" w:cs="Times New Roman"/>
          <w:sz w:val="28"/>
          <w:szCs w:val="28"/>
        </w:rPr>
        <w:t xml:space="preserve"> связан с новыми структурными изменениями из-за усиления гонки вооружения и достижения СССР стратегического паритета. Была повышена эффектив</w:t>
      </w:r>
      <w:r>
        <w:rPr>
          <w:rFonts w:ascii="Times New Roman" w:hAnsi="Times New Roman" w:cs="Times New Roman"/>
          <w:sz w:val="28"/>
          <w:szCs w:val="28"/>
        </w:rPr>
        <w:t xml:space="preserve">ность руководства деятельностью ГО со стороны органов управления министерств и ведомств. Характерной особенностью первых шести этапов развития МПВО-ГО является планирование выполнения всех мероприятий по защите населения и территорий в условиях военного вр</w:t>
      </w:r>
      <w:r>
        <w:rPr>
          <w:rFonts w:ascii="Times New Roman" w:hAnsi="Times New Roman" w:cs="Times New Roman"/>
          <w:sz w:val="28"/>
          <w:szCs w:val="28"/>
        </w:rPr>
        <w:t xml:space="preserve">емени. Предупреждение и ликвидация ЧС природного и техногенного характера в мирное время как задача в то время не стояла.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Седьмой этап развития системы ГО (1987-1991 г.)</w:t>
      </w:r>
      <w:r>
        <w:rPr>
          <w:rFonts w:ascii="Times New Roman" w:hAnsi="Times New Roman" w:cs="Times New Roman"/>
          <w:sz w:val="28"/>
          <w:szCs w:val="28"/>
        </w:rPr>
        <w:t xml:space="preserve"> является этапом позитивных перемен в военно-политической ситуации, окончания «холодной</w:t>
      </w:r>
      <w:r>
        <w:rPr>
          <w:rFonts w:ascii="Times New Roman" w:hAnsi="Times New Roman" w:cs="Times New Roman"/>
          <w:sz w:val="28"/>
          <w:szCs w:val="28"/>
        </w:rPr>
        <w:t xml:space="preserve">» войны и переключения значительной части сил ГО на решение экологических и хозяйственных проблем. На данном этапе на гражданскую оборону были возложены задачи по защите населения и территорий от стихийных бедствий, аварий, катастроф в мирное время.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</w:t>
      </w:r>
      <w:r>
        <w:rPr>
          <w:rFonts w:ascii="Times New Roman" w:hAnsi="Times New Roman" w:cs="Times New Roman"/>
          <w:b/>
          <w:sz w:val="28"/>
          <w:szCs w:val="28"/>
        </w:rPr>
        <w:t xml:space="preserve">й этап (с 1991 г. по настоящее время)</w:t>
      </w:r>
      <w:r>
        <w:rPr>
          <w:rFonts w:ascii="Times New Roman" w:hAnsi="Times New Roman" w:cs="Times New Roman"/>
          <w:sz w:val="28"/>
          <w:szCs w:val="28"/>
        </w:rPr>
        <w:t xml:space="preserve"> начался с упразднения государственных структур СССР, образованием СНГ и созданием Российской системы предупреждения и действий в чрезвычайных ситуациях(РСЧС). В связи с этим в 1990 году был создан специальный федеральн</w:t>
      </w:r>
      <w:r>
        <w:rPr>
          <w:rFonts w:ascii="Times New Roman" w:hAnsi="Times New Roman" w:cs="Times New Roman"/>
          <w:sz w:val="28"/>
          <w:szCs w:val="28"/>
        </w:rPr>
        <w:t xml:space="preserve">ый орган исполнительной власти – Российский корпус спасателей на правах государственного комитета, который после ряда преобразований в 1994 году становится Министерством РФ по делам гражданской обороны, чрезвычайным ситуациям и ликвидации последствий стихи</w:t>
      </w:r>
      <w:r>
        <w:rPr>
          <w:rFonts w:ascii="Times New Roman" w:hAnsi="Times New Roman" w:cs="Times New Roman"/>
          <w:sz w:val="28"/>
          <w:szCs w:val="28"/>
        </w:rPr>
        <w:t xml:space="preserve">йных бедствий.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1992 г. была создана Единая государственная система предупреждения и ликвидации ЧС (РСЧС), предназначенная для реализации государственной политики в области защиты населения и территорий от чрезвычайных ситуаций природного и техногенного </w:t>
      </w:r>
      <w:r>
        <w:rPr>
          <w:rFonts w:ascii="Times New Roman" w:hAnsi="Times New Roman" w:cs="Times New Roman"/>
          <w:sz w:val="28"/>
          <w:szCs w:val="28"/>
        </w:rPr>
        <w:t xml:space="preserve">характера.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Гражданская оборона России является составной частью общей системы государственных оборонных мероприятий, проводимых в мирное и военное время. Деятельность гражданской обороны направлена на защиту от современных средств нападения противника, так</w:t>
      </w:r>
      <w:r>
        <w:rPr>
          <w:rFonts w:ascii="Times New Roman" w:hAnsi="Times New Roman" w:cs="Times New Roman"/>
          <w:sz w:val="28"/>
          <w:szCs w:val="28"/>
        </w:rPr>
        <w:t xml:space="preserve"> и на проведение спасательных и неотложных аварийно-восстановительных работ на объектах и в очагах поражения при чрезвычайных ситуациях мирного и военного времени.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количество ежегодно возникающих чрезвычайных ситуаций, сопровождаемых значительными </w:t>
      </w:r>
      <w:r>
        <w:rPr>
          <w:rFonts w:ascii="Times New Roman" w:hAnsi="Times New Roman" w:cs="Times New Roman"/>
          <w:sz w:val="28"/>
          <w:szCs w:val="28"/>
        </w:rPr>
        <w:t xml:space="preserve">людскими и материальными потерями, сохраняющаяся опасность возникновения войн и вооруженных конфликтов повышают актуальность защиты населения и территорий в настоящее время. Поэтому решение новых задач, возложенных на единую систему предупреждения и ликвид</w:t>
      </w:r>
      <w:r>
        <w:rPr>
          <w:rFonts w:ascii="Times New Roman" w:hAnsi="Times New Roman" w:cs="Times New Roman"/>
          <w:sz w:val="28"/>
          <w:szCs w:val="28"/>
        </w:rPr>
        <w:t xml:space="preserve">ации чрезвычайных ситуаций (РСЧС) и на гражданскую оборону (ГО), невозможно без создания и обеспечения функционирования целостной, эффективной и гибкой системы управления, позволяющей проводить единую государственную политику в области предупреждения и лик</w:t>
      </w:r>
      <w:r>
        <w:rPr>
          <w:rFonts w:ascii="Times New Roman" w:hAnsi="Times New Roman" w:cs="Times New Roman"/>
          <w:sz w:val="28"/>
          <w:szCs w:val="28"/>
        </w:rPr>
        <w:t xml:space="preserve">видации чрезвычайных ситуаций, защиты жизни и здоровья людей. Причем, чем сложнее задачи - тем выше требования к системе управления.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ликвидации ЧС свидетельствует о большой роли, которую играет эффективная, стройная система управления в вопросах реагирования на возникающие аварии, катастрофы и стихийные бедствия. В последние годы особенно сильно проявилось многообразие этих ЧС - от</w:t>
      </w:r>
      <w:r>
        <w:rPr>
          <w:rFonts w:ascii="Times New Roman" w:hAnsi="Times New Roman" w:cs="Times New Roman"/>
          <w:sz w:val="28"/>
          <w:szCs w:val="28"/>
        </w:rPr>
        <w:t xml:space="preserve"> вооруженного конфликта и разрушительного землетрясения до крупных пожаров и наводнений, многочисленных техногенных аварий и катастроф.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1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общие итоги деятельности МЧС России, систем ГО и РСЧС, можно с полной уверенностью сказать, что прошедшие годы убедительно подтвердили обоснованность, социально-политическую и экономическую целесообразность их создания. 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h="16838" w:orient="portrait" w:w="11906"/>
      <w:pgMar w:top="1134" w:right="709" w:bottom="1134" w:left="1134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erriweather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28320594"/>
      <w:docPartObj>
        <w:docPartGallery w:val="Page Numbers (Top of Page)"/>
        <w:docPartUnique w:val="true"/>
      </w:docPartObj>
      <w:rPr/>
    </w:sdtPr>
    <w:sdtContent>
      <w:p>
        <w:pPr>
          <w:pStyle w:val="875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89"/>
    <w:next w:val="689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89"/>
    <w:next w:val="689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89"/>
    <w:next w:val="689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89"/>
    <w:next w:val="689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89"/>
    <w:next w:val="689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89"/>
    <w:next w:val="689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89"/>
    <w:next w:val="689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9"/>
    <w:next w:val="689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9"/>
    <w:next w:val="689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paragraph" w:styleId="175">
    <w:name w:val="Header"/>
    <w:basedOn w:val="689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77">
    <w:name w:val="Footer"/>
    <w:basedOn w:val="689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79">
    <w:name w:val="Caption"/>
    <w:basedOn w:val="689"/>
    <w:next w:val="6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689" w:default="1">
    <w:name w:val="Normal"/>
    <w:qFormat/>
    <w:pPr>
      <w:pBdr/>
      <w:spacing/>
      <w:ind/>
    </w:pPr>
  </w:style>
  <w:style w:type="character" w:styleId="690" w:default="1">
    <w:name w:val="Default Paragraph Font"/>
    <w:uiPriority w:val="1"/>
    <w:semiHidden/>
    <w:unhideWhenUsed/>
    <w:pPr>
      <w:pBdr/>
      <w:spacing/>
      <w:ind/>
    </w:pPr>
  </w:style>
  <w:style w:type="table" w:styleId="69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2" w:default="1">
    <w:name w:val="No List"/>
    <w:uiPriority w:val="99"/>
    <w:semiHidden/>
    <w:unhideWhenUsed/>
    <w:pPr>
      <w:pBdr/>
      <w:spacing/>
      <w:ind/>
    </w:pPr>
  </w:style>
  <w:style w:type="character" w:styleId="693" w:customStyle="1">
    <w:name w:val="Title Char"/>
    <w:basedOn w:val="69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694" w:customStyle="1">
    <w:name w:val="Subtitle Char"/>
    <w:basedOn w:val="6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95" w:customStyle="1">
    <w:name w:val="Quote Char"/>
    <w:basedOn w:val="6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696" w:customStyle="1">
    <w:name w:val="Intense Quote Char"/>
    <w:basedOn w:val="69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697" w:customStyle="1">
    <w:name w:val="Footnote Text Char"/>
    <w:basedOn w:val="690"/>
    <w:uiPriority w:val="99"/>
    <w:semiHidden/>
    <w:pPr>
      <w:pBdr/>
      <w:spacing/>
      <w:ind/>
    </w:pPr>
    <w:rPr>
      <w:sz w:val="20"/>
      <w:szCs w:val="20"/>
    </w:rPr>
  </w:style>
  <w:style w:type="character" w:styleId="698" w:customStyle="1">
    <w:name w:val="Endnote Text Char"/>
    <w:basedOn w:val="690"/>
    <w:uiPriority w:val="99"/>
    <w:semiHidden/>
    <w:pPr>
      <w:pBdr/>
      <w:spacing/>
      <w:ind/>
    </w:pPr>
    <w:rPr>
      <w:sz w:val="20"/>
      <w:szCs w:val="20"/>
    </w:rPr>
  </w:style>
  <w:style w:type="table" w:styleId="699">
    <w:name w:val="Table Grid"/>
    <w:basedOn w:val="69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Table Grid Light"/>
    <w:basedOn w:val="69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Таблица простая 11"/>
    <w:basedOn w:val="69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Таблица простая 21"/>
    <w:basedOn w:val="69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Таблица простая 3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Таблица простая 4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Таблица простая 5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Таблица-сетка 1 светл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Таблица-сетка 2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Таблица-сетка 3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Таблица-сетка 41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4 - Accent 1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4 - Accent 2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4 - Accent 3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4 - Accent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4 - Accent 5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4 - Accent 6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Таблица-сетка 5 темн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5 Dark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5 Dark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Таблица-сетка 6 цветн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Таблица-сетка 7 цветн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Список-таблица 1 светл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Список-таблица 2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Список-таблица 3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писок-таблица 4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4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4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4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4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4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4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Список-таблица 5 темн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5 Dark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5 Dark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Список-таблица 6 цветн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Список-таблица 7 цветная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ned - Accent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ned - Accent 1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ned - Accent 2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ned - Accent 3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ned - Accent 4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ned - Accent 5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ned - Accent 6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Bordered &amp; Lined - Accent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Bordered &amp; Lined - Accent 1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Bordered &amp; Lined - Accent 2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&amp; Lined - Accent 3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&amp; Lined - Accent 4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&amp; Lined - Accent 5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&amp; Lined - Accent 6"/>
    <w:basedOn w:val="69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5" w:customStyle="1">
    <w:name w:val="Заголовок 11"/>
    <w:basedOn w:val="689"/>
    <w:next w:val="689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826" w:customStyle="1">
    <w:name w:val="Заголовок 31"/>
    <w:basedOn w:val="689"/>
    <w:next w:val="689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27" w:customStyle="1">
    <w:name w:val="Заголовок 41"/>
    <w:basedOn w:val="689"/>
    <w:next w:val="689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28" w:customStyle="1">
    <w:name w:val="Заголовок 51"/>
    <w:basedOn w:val="689"/>
    <w:next w:val="689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29" w:customStyle="1">
    <w:name w:val="Заголовок 61"/>
    <w:basedOn w:val="689"/>
    <w:next w:val="689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0" w:customStyle="1">
    <w:name w:val="Заголовок 71"/>
    <w:basedOn w:val="689"/>
    <w:next w:val="689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1" w:customStyle="1">
    <w:name w:val="Заголовок 81"/>
    <w:basedOn w:val="689"/>
    <w:next w:val="689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2" w:customStyle="1">
    <w:name w:val="Заголовок 91"/>
    <w:basedOn w:val="689"/>
    <w:next w:val="689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3" w:customStyle="1">
    <w:name w:val="Heading 1 Char"/>
    <w:basedOn w:val="690"/>
    <w:link w:val="82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34" w:customStyle="1">
    <w:name w:val="Heading 2 Char"/>
    <w:basedOn w:val="69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35" w:customStyle="1">
    <w:name w:val="Heading 3 Char"/>
    <w:basedOn w:val="690"/>
    <w:link w:val="8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36" w:customStyle="1">
    <w:name w:val="Heading 4 Char"/>
    <w:basedOn w:val="690"/>
    <w:link w:val="82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37" w:customStyle="1">
    <w:name w:val="Heading 5 Char"/>
    <w:basedOn w:val="690"/>
    <w:link w:val="82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38" w:customStyle="1">
    <w:name w:val="Heading 6 Char"/>
    <w:basedOn w:val="690"/>
    <w:link w:val="8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 w:customStyle="1">
    <w:name w:val="Heading 7 Char"/>
    <w:basedOn w:val="690"/>
    <w:link w:val="8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 w:customStyle="1">
    <w:name w:val="Heading 8 Char"/>
    <w:basedOn w:val="690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 w:customStyle="1">
    <w:name w:val="Heading 9 Char"/>
    <w:basedOn w:val="690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689"/>
    <w:next w:val="689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 w:customStyle="1">
    <w:name w:val="Заголовок Знак"/>
    <w:basedOn w:val="690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689"/>
    <w:next w:val="689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 w:customStyle="1">
    <w:name w:val="Подзаголовок Знак"/>
    <w:basedOn w:val="690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689"/>
    <w:next w:val="689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 w:customStyle="1">
    <w:name w:val="Цитата 2 Знак"/>
    <w:basedOn w:val="690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8">
    <w:name w:val="List Paragraph"/>
    <w:basedOn w:val="689"/>
    <w:uiPriority w:val="34"/>
    <w:qFormat/>
    <w:pPr>
      <w:pBdr/>
      <w:spacing/>
      <w:ind w:left="720"/>
      <w:contextualSpacing w:val="true"/>
    </w:pPr>
  </w:style>
  <w:style w:type="character" w:styleId="849">
    <w:name w:val="Intense Emphasis"/>
    <w:basedOn w:val="69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50">
    <w:name w:val="Intense Quote"/>
    <w:basedOn w:val="689"/>
    <w:next w:val="689"/>
    <w:link w:val="85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51" w:customStyle="1">
    <w:name w:val="Выделенная цитата Знак"/>
    <w:basedOn w:val="690"/>
    <w:link w:val="85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52">
    <w:name w:val="Intense Reference"/>
    <w:basedOn w:val="69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53">
    <w:name w:val="No Spacing"/>
    <w:basedOn w:val="689"/>
    <w:uiPriority w:val="1"/>
    <w:qFormat/>
    <w:pPr>
      <w:pBdr/>
      <w:spacing w:after="0" w:line="240" w:lineRule="auto"/>
      <w:ind/>
    </w:pPr>
  </w:style>
  <w:style w:type="character" w:styleId="854">
    <w:name w:val="Subtle Emphasis"/>
    <w:basedOn w:val="6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690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690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6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69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59" w:customStyle="1">
    <w:name w:val="Header Char"/>
    <w:basedOn w:val="690"/>
    <w:uiPriority w:val="99"/>
    <w:pPr>
      <w:pBdr/>
      <w:spacing/>
      <w:ind/>
    </w:pPr>
  </w:style>
  <w:style w:type="character" w:styleId="860" w:customStyle="1">
    <w:name w:val="Footer Char"/>
    <w:basedOn w:val="690"/>
    <w:uiPriority w:val="99"/>
    <w:pPr>
      <w:pBdr/>
      <w:spacing/>
      <w:ind/>
    </w:pPr>
  </w:style>
  <w:style w:type="paragraph" w:styleId="861" w:customStyle="1">
    <w:name w:val="Название объекта1"/>
    <w:basedOn w:val="689"/>
    <w:next w:val="68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62">
    <w:name w:val="footnote text"/>
    <w:basedOn w:val="689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 w:customStyle="1">
    <w:name w:val="Текст сноски Знак"/>
    <w:basedOn w:val="690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689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 w:customStyle="1">
    <w:name w:val="Текст концевой сноски Знак"/>
    <w:basedOn w:val="690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690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69">
    <w:name w:val="FollowedHyperlink"/>
    <w:basedOn w:val="69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70">
    <w:name w:val="TOC Heading"/>
    <w:uiPriority w:val="39"/>
    <w:unhideWhenUsed/>
    <w:pPr>
      <w:pBdr/>
      <w:spacing/>
      <w:ind/>
    </w:pPr>
  </w:style>
  <w:style w:type="paragraph" w:styleId="871">
    <w:name w:val="table of figures"/>
    <w:basedOn w:val="689"/>
    <w:next w:val="689"/>
    <w:uiPriority w:val="99"/>
    <w:unhideWhenUsed/>
    <w:pPr>
      <w:pBdr/>
      <w:spacing w:after="0"/>
      <w:ind/>
    </w:pPr>
  </w:style>
  <w:style w:type="paragraph" w:styleId="872" w:customStyle="1">
    <w:name w:val="Заголовок 21"/>
    <w:basedOn w:val="689"/>
    <w:link w:val="873"/>
    <w:uiPriority w:val="9"/>
    <w:qFormat/>
    <w:pPr>
      <w:pBdr/>
      <w:spacing w:after="160" w:line="240" w:lineRule="auto"/>
      <w:ind/>
      <w:outlineLvl w:val="1"/>
    </w:pPr>
    <w:rPr>
      <w:rFonts w:ascii="Merriweather" w:hAnsi="Merriweather" w:eastAsia="Times New Roman" w:cs="Times New Roman"/>
      <w:b/>
      <w:bCs/>
      <w:color w:val="1e1b1b"/>
      <w:sz w:val="18"/>
      <w:szCs w:val="18"/>
      <w:lang w:eastAsia="ru-RU"/>
    </w:rPr>
  </w:style>
  <w:style w:type="character" w:styleId="873" w:customStyle="1">
    <w:name w:val="Заголовок 2 Знак"/>
    <w:basedOn w:val="690"/>
    <w:link w:val="872"/>
    <w:uiPriority w:val="9"/>
    <w:pPr>
      <w:pBdr/>
      <w:spacing/>
      <w:ind/>
    </w:pPr>
    <w:rPr>
      <w:rFonts w:ascii="Merriweather" w:hAnsi="Merriweather" w:eastAsia="Times New Roman" w:cs="Times New Roman"/>
      <w:b/>
      <w:bCs/>
      <w:color w:val="1e1b1b"/>
      <w:sz w:val="18"/>
      <w:szCs w:val="18"/>
      <w:lang w:eastAsia="ru-RU"/>
    </w:rPr>
  </w:style>
  <w:style w:type="paragraph" w:styleId="874">
    <w:name w:val="Normal (Web)"/>
    <w:basedOn w:val="689"/>
    <w:uiPriority w:val="99"/>
    <w:unhideWhenUsed/>
    <w:pPr>
      <w:pBdr/>
      <w:spacing w:after="100" w:after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5" w:customStyle="1">
    <w:name w:val="Верхний колонтитул1"/>
    <w:basedOn w:val="689"/>
    <w:link w:val="876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876" w:customStyle="1">
    <w:name w:val="Верхний колонтитул Знак"/>
    <w:basedOn w:val="690"/>
    <w:link w:val="875"/>
    <w:uiPriority w:val="99"/>
    <w:pPr>
      <w:pBdr/>
      <w:spacing/>
      <w:ind/>
    </w:pPr>
  </w:style>
  <w:style w:type="paragraph" w:styleId="877" w:customStyle="1">
    <w:name w:val="Нижний колонтитул1"/>
    <w:basedOn w:val="689"/>
    <w:link w:val="878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878" w:customStyle="1">
    <w:name w:val="Нижний колонтитул Знак"/>
    <w:basedOn w:val="690"/>
    <w:link w:val="877"/>
    <w:uiPriority w:val="99"/>
    <w:semiHidden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2C0FF-1813-4EB7-947C-34D9FF25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AfanasievVM</dc:creator>
  <cp:revision>3</cp:revision>
  <dcterms:created xsi:type="dcterms:W3CDTF">2025-09-12T09:02:00Z</dcterms:created>
  <dcterms:modified xsi:type="dcterms:W3CDTF">2025-09-12T09:06:11Z</dcterms:modified>
</cp:coreProperties>
</file>